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1978" w:rsidRPr="00521978" w:rsidRDefault="00521978" w:rsidP="00521978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caps/>
          <w:color w:val="4F4F4F"/>
          <w:sz w:val="24"/>
          <w:szCs w:val="24"/>
          <w:lang w:eastAsia="ru-RU"/>
        </w:rPr>
      </w:pPr>
      <w:bookmarkStart w:id="0" w:name="_GoBack"/>
      <w:bookmarkEnd w:id="0"/>
      <w:r w:rsidRPr="00521978">
        <w:rPr>
          <w:rFonts w:ascii="Times New Roman" w:eastAsia="Times New Roman" w:hAnsi="Times New Roman" w:cs="Times New Roman"/>
          <w:b/>
          <w:bCs/>
          <w:caps/>
          <w:color w:val="4F4F4F"/>
          <w:sz w:val="24"/>
          <w:szCs w:val="24"/>
          <w:bdr w:val="none" w:sz="0" w:space="0" w:color="auto" w:frame="1"/>
          <w:lang w:eastAsia="ru-RU"/>
        </w:rPr>
        <w:t> ПАМЯТКА</w:t>
      </w:r>
    </w:p>
    <w:p w:rsidR="00521978" w:rsidRPr="00521978" w:rsidRDefault="00521978" w:rsidP="00521978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caps/>
          <w:color w:val="4F4F4F"/>
          <w:sz w:val="24"/>
          <w:szCs w:val="24"/>
          <w:lang w:eastAsia="ru-RU"/>
        </w:rPr>
      </w:pPr>
      <w:r w:rsidRPr="00521978">
        <w:rPr>
          <w:rFonts w:ascii="Times New Roman" w:eastAsia="Times New Roman" w:hAnsi="Times New Roman" w:cs="Times New Roman"/>
          <w:b/>
          <w:bCs/>
          <w:caps/>
          <w:color w:val="4F4F4F"/>
          <w:sz w:val="24"/>
          <w:szCs w:val="24"/>
          <w:bdr w:val="none" w:sz="0" w:space="0" w:color="auto" w:frame="1"/>
          <w:lang w:eastAsia="ru-RU"/>
        </w:rPr>
        <w:t>ПО КОНТАГИОЗНОЙ ПЛЕВРОПНЕВМОНИИ КРС</w:t>
      </w:r>
    </w:p>
    <w:p w:rsidR="00521978" w:rsidRPr="00521978" w:rsidRDefault="00521978" w:rsidP="005219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521978">
        <w:rPr>
          <w:rFonts w:ascii="Helvetica" w:eastAsia="Times New Roman" w:hAnsi="Helvetica" w:cs="Helvetica"/>
          <w:b/>
          <w:bCs/>
          <w:color w:val="4F4F4F"/>
          <w:sz w:val="24"/>
          <w:szCs w:val="24"/>
          <w:bdr w:val="none" w:sz="0" w:space="0" w:color="auto" w:frame="1"/>
          <w:lang w:eastAsia="ru-RU"/>
        </w:rPr>
        <w:t>Контагиозная плевропневмония КРС</w:t>
      </w:r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 - </w:t>
      </w:r>
      <w:proofErr w:type="spellStart"/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высококонтагиозная</w:t>
      </w:r>
      <w:proofErr w:type="spellEnd"/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 вирусная </w:t>
      </w:r>
      <w:proofErr w:type="spellStart"/>
      <w:proofErr w:type="gramStart"/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болезнь,характеризуется</w:t>
      </w:r>
      <w:proofErr w:type="spellEnd"/>
      <w:proofErr w:type="gramEnd"/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 крупозной </w:t>
      </w:r>
      <w:proofErr w:type="spellStart"/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пневмониейи</w:t>
      </w:r>
      <w:proofErr w:type="spellEnd"/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 плевритом с последующим </w:t>
      </w:r>
      <w:proofErr w:type="spellStart"/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развитиеманемических</w:t>
      </w:r>
      <w:proofErr w:type="spellEnd"/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 некрозов (секвестров </w:t>
      </w:r>
      <w:proofErr w:type="spellStart"/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влегких</w:t>
      </w:r>
      <w:proofErr w:type="spellEnd"/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).</w:t>
      </w:r>
    </w:p>
    <w:p w:rsidR="00521978" w:rsidRPr="00521978" w:rsidRDefault="00521978" w:rsidP="005219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521978">
        <w:rPr>
          <w:rFonts w:ascii="Helvetica" w:eastAsia="Times New Roman" w:hAnsi="Helvetica" w:cs="Helvetica"/>
          <w:b/>
          <w:bCs/>
          <w:color w:val="4F4F4F"/>
          <w:sz w:val="24"/>
          <w:szCs w:val="24"/>
          <w:bdr w:val="none" w:sz="0" w:space="0" w:color="auto" w:frame="1"/>
          <w:lang w:eastAsia="ru-RU"/>
        </w:rPr>
        <w:t>Этиология</w:t>
      </w:r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. Возбудитель— </w:t>
      </w:r>
      <w:proofErr w:type="spellStart"/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Mycoplasmamycoidesvar</w:t>
      </w:r>
      <w:proofErr w:type="spellEnd"/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. </w:t>
      </w:r>
      <w:proofErr w:type="spellStart"/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mycoides</w:t>
      </w:r>
      <w:proofErr w:type="spellEnd"/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 относится к </w:t>
      </w:r>
      <w:proofErr w:type="spellStart"/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родуMycoplasmaклассу</w:t>
      </w:r>
      <w:proofErr w:type="spellEnd"/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 </w:t>
      </w:r>
      <w:proofErr w:type="spellStart"/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Mollieutes</w:t>
      </w:r>
      <w:proofErr w:type="spellEnd"/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 — полиморфный</w:t>
      </w:r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br/>
        <w:t xml:space="preserve">микроорганизм, размер 0,2-0,8 мкм, растет только на специальных питательных средах </w:t>
      </w:r>
      <w:proofErr w:type="spellStart"/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сдобавлением</w:t>
      </w:r>
      <w:proofErr w:type="spellEnd"/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 сыворотки. Возбудитель КПП неподвижен, аэроб, грамотрицательный, </w:t>
      </w:r>
      <w:proofErr w:type="spellStart"/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вантигенном</w:t>
      </w:r>
      <w:proofErr w:type="spellEnd"/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 отношении все штаммы возбудителя КПП идентичны. К </w:t>
      </w:r>
      <w:proofErr w:type="spellStart"/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воздействиюфакторов</w:t>
      </w:r>
      <w:proofErr w:type="spellEnd"/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 внешней среды и </w:t>
      </w:r>
      <w:proofErr w:type="spellStart"/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дезсредств</w:t>
      </w:r>
      <w:proofErr w:type="spellEnd"/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 устойчивость возбудителя незначительная.</w:t>
      </w:r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br/>
        <w:t xml:space="preserve">Высушивание, солнечный свет убивают его через 5 ч, нагревание до 58 С — через 1 ч, </w:t>
      </w:r>
      <w:proofErr w:type="spellStart"/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вгниющем</w:t>
      </w:r>
      <w:proofErr w:type="spellEnd"/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 материале сохраняется до 9 дней, в замороженных кусках </w:t>
      </w:r>
      <w:proofErr w:type="spellStart"/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пораженноголегкого</w:t>
      </w:r>
      <w:proofErr w:type="spellEnd"/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 — в течение года. </w:t>
      </w:r>
      <w:proofErr w:type="spellStart"/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Дезсредства</w:t>
      </w:r>
      <w:proofErr w:type="spellEnd"/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 (хлорамин, хлорная и свежегашеная известь, </w:t>
      </w:r>
      <w:proofErr w:type="spellStart"/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сернокарболовая</w:t>
      </w:r>
      <w:proofErr w:type="spellEnd"/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 смесь) в принятых концентрациях надежно </w:t>
      </w:r>
      <w:proofErr w:type="spellStart"/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обезвреживаютвозбудителя</w:t>
      </w:r>
      <w:proofErr w:type="spellEnd"/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 КПП (1-я группа по устойчивости к </w:t>
      </w:r>
      <w:proofErr w:type="spellStart"/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дезсредствам</w:t>
      </w:r>
      <w:proofErr w:type="spellEnd"/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). Чувствителен </w:t>
      </w:r>
      <w:proofErr w:type="spellStart"/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ктетрациклину</w:t>
      </w:r>
      <w:proofErr w:type="spellEnd"/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, стрептомицину, левомицетину.</w:t>
      </w:r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br/>
      </w:r>
      <w:r w:rsidRPr="00521978">
        <w:rPr>
          <w:rFonts w:ascii="Helvetica" w:eastAsia="Times New Roman" w:hAnsi="Helvetica" w:cs="Helvetica"/>
          <w:b/>
          <w:bCs/>
          <w:color w:val="4F4F4F"/>
          <w:sz w:val="24"/>
          <w:szCs w:val="24"/>
          <w:bdr w:val="none" w:sz="0" w:space="0" w:color="auto" w:frame="1"/>
          <w:lang w:eastAsia="ru-RU"/>
        </w:rPr>
        <w:t>Симптомы</w:t>
      </w:r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. Инкубационный период -— 2-4 </w:t>
      </w:r>
      <w:proofErr w:type="spellStart"/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нед</w:t>
      </w:r>
      <w:proofErr w:type="spellEnd"/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 (иногда до 4— 6 </w:t>
      </w:r>
      <w:proofErr w:type="spellStart"/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мес</w:t>
      </w:r>
      <w:proofErr w:type="spellEnd"/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). </w:t>
      </w:r>
      <w:proofErr w:type="spellStart"/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Различаютсверхострое</w:t>
      </w:r>
      <w:proofErr w:type="spellEnd"/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, острое, </w:t>
      </w:r>
      <w:proofErr w:type="spellStart"/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подосгрое</w:t>
      </w:r>
      <w:proofErr w:type="spellEnd"/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, хроническое течение </w:t>
      </w:r>
      <w:proofErr w:type="spellStart"/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pi</w:t>
      </w:r>
      <w:proofErr w:type="spellEnd"/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 атипичную форму болезни.</w:t>
      </w:r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br/>
        <w:t xml:space="preserve">Сверхострое течение: экссудативный плеврит, пневмония, повышение </w:t>
      </w:r>
      <w:proofErr w:type="spellStart"/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температурывыше</w:t>
      </w:r>
      <w:proofErr w:type="spellEnd"/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 41°С, затрудненное дыхание, отсутствие аппетита, прекращение жвачки, диареи.</w:t>
      </w:r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br/>
        <w:t xml:space="preserve">Гибель наступает на 2-8-й день. Острое течение продолжается около месяца: лихорадка, пневмония, плеврит, отеки подгрудка и конечностей, расстройство </w:t>
      </w:r>
      <w:proofErr w:type="spellStart"/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деятельностижелудочно</w:t>
      </w:r>
      <w:proofErr w:type="spellEnd"/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-кишечного тракта. При подостром течении признаки те же, но они </w:t>
      </w:r>
      <w:proofErr w:type="spellStart"/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слабеевыражены</w:t>
      </w:r>
      <w:proofErr w:type="spellEnd"/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 и непостоянны. Хроническое течение длится несколько недель или месяцев: кашель, расстройство деятельности желудочно-кишечного тракта, истощение.</w:t>
      </w:r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br/>
      </w:r>
      <w:r w:rsidRPr="00521978">
        <w:rPr>
          <w:rFonts w:ascii="Helvetica" w:eastAsia="Times New Roman" w:hAnsi="Helvetica" w:cs="Helvetica"/>
          <w:b/>
          <w:bCs/>
          <w:color w:val="4F4F4F"/>
          <w:sz w:val="24"/>
          <w:szCs w:val="24"/>
          <w:bdr w:val="none" w:sz="0" w:space="0" w:color="auto" w:frame="1"/>
          <w:lang w:eastAsia="ru-RU"/>
        </w:rPr>
        <w:t>Диагноз:</w:t>
      </w:r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 ставят на основании клинико-</w:t>
      </w:r>
      <w:proofErr w:type="spellStart"/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эпизоотологичееких</w:t>
      </w:r>
      <w:proofErr w:type="spellEnd"/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 данных и </w:t>
      </w:r>
      <w:proofErr w:type="spellStart"/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результатовлабораторных</w:t>
      </w:r>
      <w:proofErr w:type="spellEnd"/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 исследований (бактериологического, </w:t>
      </w:r>
      <w:proofErr w:type="spellStart"/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биопроба</w:t>
      </w:r>
      <w:proofErr w:type="spellEnd"/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, серологического).</w:t>
      </w:r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br/>
        <w:t xml:space="preserve">Поставить прижизненный диагноз нередко трудно. В острой стадии возбудителя </w:t>
      </w:r>
      <w:proofErr w:type="spellStart"/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КППудается</w:t>
      </w:r>
      <w:proofErr w:type="spellEnd"/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 выделить из крови. С целью выявления животных, с латентным течение </w:t>
      </w:r>
      <w:proofErr w:type="spellStart"/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болезниприменяют</w:t>
      </w:r>
      <w:proofErr w:type="spellEnd"/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 РСК, РДП, РИГА, МФА, реакцию </w:t>
      </w:r>
      <w:proofErr w:type="spellStart"/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конглютинации</w:t>
      </w:r>
      <w:proofErr w:type="spellEnd"/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, пластинчатую РА </w:t>
      </w:r>
      <w:proofErr w:type="spellStart"/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сизвестным</w:t>
      </w:r>
      <w:proofErr w:type="spellEnd"/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 антигеном. Дифференцируют КПП от- </w:t>
      </w:r>
      <w:proofErr w:type="spellStart"/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пастереллеза</w:t>
      </w:r>
      <w:proofErr w:type="spellEnd"/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, туберкулеза, </w:t>
      </w:r>
      <w:proofErr w:type="spellStart"/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крупознойпневмонии</w:t>
      </w:r>
      <w:proofErr w:type="spellEnd"/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 незаразного происхождения, травматического перикардита, </w:t>
      </w:r>
      <w:proofErr w:type="spellStart"/>
      <w:proofErr w:type="gramStart"/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парагриппа,эхинококкоза</w:t>
      </w:r>
      <w:proofErr w:type="spellEnd"/>
      <w:proofErr w:type="gramEnd"/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.</w:t>
      </w:r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br/>
      </w:r>
      <w:r w:rsidRPr="00521978">
        <w:rPr>
          <w:rFonts w:ascii="Helvetica" w:eastAsia="Times New Roman" w:hAnsi="Helvetica" w:cs="Helvetica"/>
          <w:b/>
          <w:bCs/>
          <w:color w:val="4F4F4F"/>
          <w:sz w:val="24"/>
          <w:szCs w:val="24"/>
          <w:bdr w:val="none" w:sz="0" w:space="0" w:color="auto" w:frame="1"/>
          <w:lang w:eastAsia="ru-RU"/>
        </w:rPr>
        <w:t>Лечение.</w:t>
      </w:r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 Согласно инструкции по борьбе с КПП больные животные подлежат убою. Лечение их ввиду опасности распространения болезни запрещена.</w:t>
      </w:r>
    </w:p>
    <w:p w:rsidR="00521978" w:rsidRPr="00521978" w:rsidRDefault="00521978" w:rsidP="005219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521978">
        <w:rPr>
          <w:rFonts w:ascii="Helvetica" w:eastAsia="Times New Roman" w:hAnsi="Helvetica" w:cs="Helvetica"/>
          <w:b/>
          <w:bCs/>
          <w:color w:val="4F4F4F"/>
          <w:sz w:val="24"/>
          <w:szCs w:val="24"/>
          <w:bdr w:val="none" w:sz="0" w:space="0" w:color="auto" w:frame="1"/>
          <w:lang w:eastAsia="ru-RU"/>
        </w:rPr>
        <w:t>Профилактика и меры борьбы:</w:t>
      </w:r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br/>
        <w:t>- Владельцам животных необходимо провести идентификацию всех имеющихся животных.</w:t>
      </w:r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br/>
        <w:t>- Не допускать ввоза животных без ветеринарных сопроводительных документов и проведения мероприятий по карантину вновь при бывших животных.</w:t>
      </w:r>
      <w:r w:rsidRPr="0052197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br/>
        <w:t>- При подозрении на заболевание домашних животных с характерными признаками к данному заболеванию, а также в случаях гибели животных, незамедлительно информировать государственную ветеринарную служб</w:t>
      </w:r>
    </w:p>
    <w:p w:rsidR="00A73995" w:rsidRDefault="00A73995"/>
    <w:sectPr w:rsidR="00A73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978"/>
    <w:rsid w:val="00521978"/>
    <w:rsid w:val="00A7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22E8A-C68B-4705-AD2C-509F6D76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219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219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21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1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User-vet</dc:creator>
  <cp:keywords/>
  <dc:description/>
  <cp:lastModifiedBy>User-vet</cp:lastModifiedBy>
  <cp:revision>2</cp:revision>
  <dcterms:created xsi:type="dcterms:W3CDTF">2023-10-16T10:37:00Z</dcterms:created>
  <dcterms:modified xsi:type="dcterms:W3CDTF">2023-10-16T10:38:00Z</dcterms:modified>
</cp:coreProperties>
</file>