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ПАМЯТКА ДЛЯ НАСЕЛЕНИЯ.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ЧУМА МЕЛКИХ ЖВАЧНЫХ ЖИВОТНЫХ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Чума мелких жвачных —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высококонтагиозная вирусная болезнь овец и коз,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Вирус ЧМЖ поражает не только домашних овец и коз, но и диких коз, а также сайгаков, газелей и других видов жвачных животных. Крупный рогатый скот не болеет чумой мелких жвачных животных, но в организме образуются антитела после инокуляции вируса. Человек к вирусу чумы мелких жвачных не восприимчив. Экономический ущерб, наносимый козоводству и овцеводству, чрезвычайно велик. Смертность в первичных очагах может достигать 100%, а на стационарно неблагополучных территориях — до 50%. Наиболее чувствительными к заболеванию ЧМЖ являются козы, смертность среди них может достигать 95%. 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Сдерживание этой болезни требует особых мер профилактики, которые могут включать в себя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передвижениями животных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введение карантина в пораженных и подозрительных на инфекцию хозяйствах, а также медицинскую профилактику (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вакцинацию в местах вспышек и в зонах высокого риска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Инкубационный период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чуме мелких жвачных составляет 6</w:t>
        <w:softHyphen/>
        <w:t>15 дней. Течение болезни при сверхострой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Основой профилактики чумы мелких жвачных является недопущение заноса возбудителя болезни из неблагополучных хозяйств и территорий, с инфицированными животными.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обеспечения стабилизации ситуации по чуме мелких жвачных животных необходимо выполнение следующих мероприятий: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допускать ввоза животных из не благополучных по чуме мелких жвачных хозяйств и территорий, а так же без ветеринарно</w:t>
        <w:softHyphen/>
        <w:t>сопроводительных документов и без согласования с государственной ветеринарной службой.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Владельцам животных необходимо провести идентификацию всех видов сельхозживотных в ЛПХ и зарегистрировать в ветеринарной службе.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Заготовку кормов производить на благополучной территории.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период пастбищного сезона, исключить контакт домашних животных с дикими животными.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подозрении на заболевание домашних животных и наличии характерных признаков чумы мелких жвачных, незамедлительно информировать об этом государственную ветеринарную службу.</w:t>
      </w:r>
    </w:p>
    <w:sectPr>
      <w:footnotePr>
        <w:pos w:val="pageBottom"/>
        <w:numFmt w:val="decimal"/>
        <w:numRestart w:val="continuous"/>
      </w:footnotePr>
      <w:pgSz w:w="11900" w:h="16840"/>
      <w:pgMar w:top="1126" w:right="819" w:bottom="1579" w:left="1663" w:header="698" w:footer="115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Сергей</dc:creator>
  <cp:keywords/>
</cp:coreProperties>
</file>